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80" w:type="dxa"/>
        <w:tblInd w:w="-275" w:type="dxa"/>
        <w:tblLook w:val="04A0" w:firstRow="1" w:lastRow="0" w:firstColumn="1" w:lastColumn="0" w:noHBand="0" w:noVBand="1"/>
      </w:tblPr>
      <w:tblGrid>
        <w:gridCol w:w="11520"/>
        <w:gridCol w:w="2160"/>
      </w:tblGrid>
      <w:tr w:rsidR="00516115" w14:paraId="1BD8DB21" w14:textId="77777777" w:rsidTr="00791657">
        <w:tc>
          <w:tcPr>
            <w:tcW w:w="11520" w:type="dxa"/>
            <w:shd w:val="clear" w:color="auto" w:fill="4F81BD" w:themeFill="accent1"/>
          </w:tcPr>
          <w:p w14:paraId="40470AF0" w14:textId="77777777" w:rsidR="00516115" w:rsidRPr="00516115" w:rsidRDefault="00C6008F" w:rsidP="004639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</w:t>
            </w:r>
            <w:r w:rsidR="00516115" w:rsidRPr="00516115">
              <w:rPr>
                <w:b/>
                <w:color w:val="FFFFFF" w:themeColor="background1"/>
              </w:rPr>
              <w:t xml:space="preserve">uthority </w:t>
            </w:r>
            <w:r>
              <w:rPr>
                <w:b/>
                <w:color w:val="FFFFFF" w:themeColor="background1"/>
              </w:rPr>
              <w:t xml:space="preserve">– </w:t>
            </w:r>
            <w:r w:rsidR="004639EE">
              <w:rPr>
                <w:b/>
                <w:color w:val="FFFFFF" w:themeColor="background1"/>
              </w:rPr>
              <w:t xml:space="preserve"> ATJB Supreme Court Order</w:t>
            </w:r>
          </w:p>
        </w:tc>
        <w:tc>
          <w:tcPr>
            <w:tcW w:w="2160" w:type="dxa"/>
            <w:shd w:val="clear" w:color="auto" w:fill="4F81BD" w:themeFill="accent1"/>
          </w:tcPr>
          <w:p w14:paraId="007B78E0" w14:textId="006C55C4" w:rsidR="00516115" w:rsidRPr="00516115" w:rsidRDefault="00516115" w:rsidP="00F12D85">
            <w:pPr>
              <w:rPr>
                <w:b/>
                <w:color w:val="FFFFFF" w:themeColor="background1"/>
              </w:rPr>
            </w:pPr>
            <w:r w:rsidRPr="00516115">
              <w:rPr>
                <w:b/>
                <w:color w:val="FFFFFF" w:themeColor="background1"/>
              </w:rPr>
              <w:t>FY</w:t>
            </w:r>
            <w:r w:rsidR="00F12D85">
              <w:rPr>
                <w:b/>
                <w:color w:val="FFFFFF" w:themeColor="background1"/>
              </w:rPr>
              <w:t>20</w:t>
            </w:r>
            <w:r w:rsidRPr="00516115">
              <w:rPr>
                <w:b/>
                <w:color w:val="FFFFFF" w:themeColor="background1"/>
              </w:rPr>
              <w:t xml:space="preserve"> Budget</w:t>
            </w:r>
          </w:p>
        </w:tc>
      </w:tr>
      <w:tr w:rsidR="00516115" w14:paraId="11F50A6F" w14:textId="77777777" w:rsidTr="00791657">
        <w:tc>
          <w:tcPr>
            <w:tcW w:w="11520" w:type="dxa"/>
          </w:tcPr>
          <w:p w14:paraId="2227D328" w14:textId="0FCCF6FE" w:rsidR="00C22363" w:rsidRDefault="004639EE" w:rsidP="00C22363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13D07">
              <w:rPr>
                <w:rFonts w:ascii="Calibri" w:eastAsia="Times New Roman" w:hAnsi="Calibri" w:cs="Times New Roman"/>
                <w:color w:val="000000"/>
              </w:rPr>
              <w:t xml:space="preserve">WSBA administers the Supreme Court-established Access to Justice Board and most of its initiatives and working committees.  </w:t>
            </w:r>
            <w:r w:rsidR="00C22363">
              <w:rPr>
                <w:rFonts w:ascii="Calibri" w:eastAsia="Times New Roman" w:hAnsi="Calibri" w:cs="Times New Roman"/>
                <w:color w:val="000000"/>
              </w:rPr>
              <w:t>The Supreme Court established the Access to Justice Board in 1994 under Court Order and reauthorized indefinitely in 2016.</w:t>
            </w:r>
          </w:p>
          <w:p w14:paraId="6E796E0D" w14:textId="77777777" w:rsidR="004639EE" w:rsidRDefault="004639EE" w:rsidP="00C22363">
            <w:pPr>
              <w:jc w:val="both"/>
            </w:pPr>
          </w:p>
        </w:tc>
        <w:tc>
          <w:tcPr>
            <w:tcW w:w="2160" w:type="dxa"/>
          </w:tcPr>
          <w:p w14:paraId="437FE34E" w14:textId="2424D68E" w:rsidR="004639EE" w:rsidRPr="001B59DA" w:rsidRDefault="004639EE" w:rsidP="004639EE">
            <w:r w:rsidRPr="001B59DA">
              <w:t xml:space="preserve">Revenue    $       </w:t>
            </w:r>
            <w:r w:rsidR="0024749B">
              <w:t>2,100</w:t>
            </w:r>
          </w:p>
          <w:p w14:paraId="1C400779" w14:textId="7A9E5C92" w:rsidR="004639EE" w:rsidRPr="001B59DA" w:rsidRDefault="004639EE" w:rsidP="004639EE">
            <w:pPr>
              <w:rPr>
                <w:u w:val="single"/>
              </w:rPr>
            </w:pPr>
            <w:r w:rsidRPr="001B59DA">
              <w:t xml:space="preserve">Expense     </w:t>
            </w:r>
            <w:r w:rsidRPr="001B59DA">
              <w:rPr>
                <w:u w:val="single"/>
              </w:rPr>
              <w:t xml:space="preserve">$  </w:t>
            </w:r>
            <w:r w:rsidR="000542A9">
              <w:rPr>
                <w:u w:val="single"/>
              </w:rPr>
              <w:t>26</w:t>
            </w:r>
            <w:r w:rsidR="00CD345C">
              <w:rPr>
                <w:u w:val="single"/>
              </w:rPr>
              <w:t>3</w:t>
            </w:r>
            <w:r w:rsidR="000542A9">
              <w:rPr>
                <w:u w:val="single"/>
              </w:rPr>
              <w:t>,97</w:t>
            </w:r>
            <w:r w:rsidR="008E2121">
              <w:rPr>
                <w:u w:val="single"/>
              </w:rPr>
              <w:t>8</w:t>
            </w:r>
          </w:p>
          <w:p w14:paraId="5F6B6228" w14:textId="7508DC45" w:rsidR="004639EE" w:rsidRPr="001B59DA" w:rsidRDefault="004639EE" w:rsidP="004639EE">
            <w:r w:rsidRPr="001B59DA">
              <w:t xml:space="preserve">Net             </w:t>
            </w:r>
            <w:r w:rsidR="00151E8A">
              <w:t>$</w:t>
            </w:r>
            <w:r w:rsidRPr="001B59DA">
              <w:t>(</w:t>
            </w:r>
            <w:r w:rsidR="0024749B">
              <w:t>2</w:t>
            </w:r>
            <w:r w:rsidR="00CD345C">
              <w:t>61</w:t>
            </w:r>
            <w:r w:rsidR="0024749B">
              <w:t>,87</w:t>
            </w:r>
            <w:r w:rsidR="008E2121">
              <w:t>8</w:t>
            </w:r>
            <w:r w:rsidRPr="001B59DA">
              <w:t>)</w:t>
            </w:r>
          </w:p>
          <w:p w14:paraId="35A17106" w14:textId="77777777" w:rsidR="004639EE" w:rsidRPr="001B59DA" w:rsidRDefault="004639EE" w:rsidP="004639EE"/>
          <w:p w14:paraId="0D79BA84" w14:textId="43E0ECB8" w:rsidR="00516115" w:rsidRDefault="004639EE" w:rsidP="0024749B">
            <w:r w:rsidRPr="001B59DA">
              <w:rPr>
                <w:u w:val="single"/>
              </w:rPr>
              <w:t xml:space="preserve">FTE Staff:  </w:t>
            </w:r>
            <w:r w:rsidR="0024749B">
              <w:rPr>
                <w:u w:val="single"/>
              </w:rPr>
              <w:t>1.62</w:t>
            </w:r>
          </w:p>
        </w:tc>
      </w:tr>
      <w:tr w:rsidR="00C6008F" w14:paraId="4A37C29D" w14:textId="77777777" w:rsidTr="00C6008F">
        <w:tc>
          <w:tcPr>
            <w:tcW w:w="13680" w:type="dxa"/>
            <w:gridSpan w:val="2"/>
            <w:shd w:val="clear" w:color="auto" w:fill="4F81BD" w:themeFill="accent1"/>
          </w:tcPr>
          <w:p w14:paraId="009E0BCF" w14:textId="77777777" w:rsidR="00C6008F" w:rsidRPr="00516115" w:rsidRDefault="00C6008F" w:rsidP="00791657">
            <w:pPr>
              <w:rPr>
                <w:b/>
                <w:color w:val="FFFFFF" w:themeColor="background1"/>
              </w:rPr>
            </w:pPr>
            <w:r w:rsidRPr="00516115">
              <w:rPr>
                <w:b/>
                <w:color w:val="FFFFFF" w:themeColor="background1"/>
              </w:rPr>
              <w:t>Functions</w:t>
            </w:r>
            <w:r w:rsidR="00791657">
              <w:rPr>
                <w:b/>
                <w:color w:val="FFFFFF" w:themeColor="background1"/>
              </w:rPr>
              <w:t>/Authority</w:t>
            </w:r>
            <w:r w:rsidRPr="00516115">
              <w:rPr>
                <w:b/>
                <w:color w:val="FFFFFF" w:themeColor="background1"/>
              </w:rPr>
              <w:t xml:space="preserve"> </w:t>
            </w:r>
          </w:p>
        </w:tc>
      </w:tr>
      <w:tr w:rsidR="00C6008F" w14:paraId="69B37B69" w14:textId="77777777" w:rsidTr="00C6008F">
        <w:tc>
          <w:tcPr>
            <w:tcW w:w="13680" w:type="dxa"/>
            <w:gridSpan w:val="2"/>
          </w:tcPr>
          <w:p w14:paraId="5831E6A3" w14:textId="683E6B56" w:rsidR="00C6008F" w:rsidRDefault="00202FFA" w:rsidP="004639EE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02FFA">
              <w:rPr>
                <w:b/>
              </w:rPr>
              <w:t xml:space="preserve">Convene and facilitate coordination among </w:t>
            </w:r>
            <w:r>
              <w:rPr>
                <w:b/>
              </w:rPr>
              <w:t>the Alliance for Equal Justice (</w:t>
            </w:r>
            <w:r w:rsidRPr="00202FFA">
              <w:rPr>
                <w:b/>
              </w:rPr>
              <w:t>organizations which deliver and/or support legal services to people who experience poverty and marginalization</w:t>
            </w:r>
            <w:r>
              <w:rPr>
                <w:b/>
              </w:rPr>
              <w:t>)</w:t>
            </w:r>
            <w:r>
              <w:t xml:space="preserve"> </w:t>
            </w:r>
            <w:r w:rsidR="009567EB">
              <w:t>(e.g., created, convene and staff the Alliance for Equal Justice, through its Delivery System Committee,</w:t>
            </w:r>
            <w:r w:rsidR="00677EF0">
              <w:t xml:space="preserve"> identifies and addresses gaps in</w:t>
            </w:r>
            <w:r w:rsidR="009567EB">
              <w:t xml:space="preserve"> organizational and inter-organizational infrastructure, facilitated and oversees the implementation </w:t>
            </w:r>
            <w:r w:rsidR="00893F93">
              <w:t>of the State Plan, organizes the biennial Access to Justice Conference</w:t>
            </w:r>
            <w:r w:rsidR="00565BFD">
              <w:t>, organizes various other symposiums and forums where Alliance members come together to discuss emerging issues</w:t>
            </w:r>
            <w:r w:rsidR="00893F93">
              <w:t>)</w:t>
            </w:r>
          </w:p>
          <w:p w14:paraId="0D69EC36" w14:textId="7B6F0A2B" w:rsidR="00151E8A" w:rsidRDefault="00202FFA" w:rsidP="004639EE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02FFA">
              <w:rPr>
                <w:b/>
              </w:rPr>
              <w:t>Evaluate</w:t>
            </w:r>
            <w:r w:rsidR="00151E8A" w:rsidRPr="00202FFA">
              <w:rPr>
                <w:b/>
              </w:rPr>
              <w:t xml:space="preserve"> the </w:t>
            </w:r>
            <w:r w:rsidRPr="00202FFA">
              <w:rPr>
                <w:b/>
              </w:rPr>
              <w:t>effectiveness</w:t>
            </w:r>
            <w:r w:rsidR="00151E8A" w:rsidRPr="00202FFA">
              <w:rPr>
                <w:b/>
              </w:rPr>
              <w:t xml:space="preserve"> of the civil legal services delivery system</w:t>
            </w:r>
            <w:r w:rsidR="00151E8A">
              <w:t xml:space="preserve"> </w:t>
            </w:r>
            <w:r w:rsidR="009567EB">
              <w:t>(e.g., developed Best Pract</w:t>
            </w:r>
            <w:r w:rsidR="00677EF0">
              <w:t>ices for Pro Bono in Washington and</w:t>
            </w:r>
            <w:r w:rsidR="009567EB">
              <w:t xml:space="preserve"> Performance Standards for Legal Aid)</w:t>
            </w:r>
          </w:p>
          <w:p w14:paraId="339783CC" w14:textId="2FD828B6" w:rsidR="00151E8A" w:rsidRDefault="00151E8A" w:rsidP="004639EE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02FFA">
              <w:rPr>
                <w:b/>
              </w:rPr>
              <w:t>Promote adequate levels of public, private and volunteer support for civil legal services</w:t>
            </w:r>
            <w:r>
              <w:t xml:space="preserve"> </w:t>
            </w:r>
            <w:r w:rsidR="009567EB">
              <w:t xml:space="preserve">(e.g., </w:t>
            </w:r>
            <w:r w:rsidR="00565BFD">
              <w:t>partners with the</w:t>
            </w:r>
            <w:r w:rsidR="009567EB">
              <w:t xml:space="preserve"> Equal Justice Coalition, educates policymakers and the public about importance of civil legal aid in our communities and advocates for public funding</w:t>
            </w:r>
            <w:r w:rsidR="00565BFD">
              <w:t>, coordinates with the Office of Civil Legal Aid to ensure adequate levels of funding</w:t>
            </w:r>
            <w:r w:rsidR="009567EB">
              <w:t>)</w:t>
            </w:r>
          </w:p>
          <w:p w14:paraId="56A7FB14" w14:textId="3DA8B914" w:rsidR="00151E8A" w:rsidRDefault="00202FFA" w:rsidP="004639EE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02FFA">
              <w:rPr>
                <w:b/>
              </w:rPr>
              <w:t>Manage</w:t>
            </w:r>
            <w:r w:rsidR="00151E8A" w:rsidRPr="00202FFA">
              <w:rPr>
                <w:b/>
              </w:rPr>
              <w:t xml:space="preserve"> communicatio</w:t>
            </w:r>
            <w:r w:rsidR="009567EB" w:rsidRPr="00202FFA">
              <w:rPr>
                <w:b/>
              </w:rPr>
              <w:t>n and information dissemination</w:t>
            </w:r>
            <w:r w:rsidRPr="00202FFA">
              <w:rPr>
                <w:b/>
              </w:rPr>
              <w:t xml:space="preserve"> to Alliance for Equal Justice</w:t>
            </w:r>
            <w:r>
              <w:t xml:space="preserve"> </w:t>
            </w:r>
            <w:r w:rsidR="009567EB">
              <w:t xml:space="preserve"> (</w:t>
            </w:r>
            <w:r w:rsidR="00893F93">
              <w:t>e.g., manages the Alliance for Equal Justice website which serves as an inter-organizational communication tool as well as a communication tool for the public</w:t>
            </w:r>
            <w:r w:rsidR="00677EF0">
              <w:t xml:space="preserve">, manages statewide access to justice related </w:t>
            </w:r>
            <w:proofErr w:type="spellStart"/>
            <w:r w:rsidR="00677EF0">
              <w:t>listservs</w:t>
            </w:r>
            <w:proofErr w:type="spellEnd"/>
            <w:r w:rsidR="00893F93">
              <w:t>)</w:t>
            </w:r>
          </w:p>
          <w:p w14:paraId="05582388" w14:textId="1B841B4E" w:rsidR="00151E8A" w:rsidRDefault="00151E8A" w:rsidP="004639EE">
            <w:pPr>
              <w:pStyle w:val="ListParagraph"/>
              <w:numPr>
                <w:ilvl w:val="0"/>
                <w:numId w:val="1"/>
              </w:numPr>
              <w:jc w:val="both"/>
            </w:pPr>
            <w:r w:rsidRPr="00B73378">
              <w:rPr>
                <w:b/>
              </w:rPr>
              <w:t xml:space="preserve">Promote, develop and implement policy initiatives </w:t>
            </w:r>
            <w:r w:rsidR="003857B4" w:rsidRPr="00B73378">
              <w:rPr>
                <w:b/>
              </w:rPr>
              <w:t xml:space="preserve">and criteria which enhance the availability of resources for essential civil equal justice </w:t>
            </w:r>
            <w:r w:rsidR="00893F93" w:rsidRPr="00B73378">
              <w:rPr>
                <w:b/>
              </w:rPr>
              <w:t>activities</w:t>
            </w:r>
            <w:r w:rsidR="00893F93">
              <w:t xml:space="preserve"> (e.g., </w:t>
            </w:r>
            <w:r w:rsidR="00677EF0">
              <w:t>convened and facilitated a coordinated and collaborative approach to fundraising for civil legal services)</w:t>
            </w:r>
          </w:p>
          <w:p w14:paraId="2157D626" w14:textId="33A6B2D2" w:rsidR="003857B4" w:rsidRDefault="00B73378" w:rsidP="004639EE">
            <w:pPr>
              <w:pStyle w:val="ListParagraph"/>
              <w:numPr>
                <w:ilvl w:val="0"/>
                <w:numId w:val="1"/>
              </w:numPr>
              <w:jc w:val="both"/>
            </w:pPr>
            <w:r w:rsidRPr="00B73378">
              <w:rPr>
                <w:b/>
              </w:rPr>
              <w:t>Develop</w:t>
            </w:r>
            <w:r w:rsidR="003857B4" w:rsidRPr="00B73378">
              <w:rPr>
                <w:b/>
              </w:rPr>
              <w:t xml:space="preserve"> and </w:t>
            </w:r>
            <w:r>
              <w:rPr>
                <w:b/>
              </w:rPr>
              <w:t>pilot</w:t>
            </w:r>
            <w:r w:rsidR="003857B4" w:rsidRPr="00B73378">
              <w:rPr>
                <w:b/>
              </w:rPr>
              <w:t xml:space="preserve"> innovative </w:t>
            </w:r>
            <w:r>
              <w:rPr>
                <w:b/>
              </w:rPr>
              <w:t xml:space="preserve">programs and </w:t>
            </w:r>
            <w:r w:rsidR="003857B4" w:rsidRPr="00B73378">
              <w:rPr>
                <w:b/>
              </w:rPr>
              <w:t>measures designed to expand a</w:t>
            </w:r>
            <w:r w:rsidR="008F4EAE" w:rsidRPr="00B73378">
              <w:rPr>
                <w:b/>
              </w:rPr>
              <w:t xml:space="preserve">ccess to justice </w:t>
            </w:r>
            <w:r w:rsidR="008F4EAE">
              <w:t xml:space="preserve">(e.g., piloted Equal Justice Community Leadership </w:t>
            </w:r>
            <w:r w:rsidR="00677EF0">
              <w:t xml:space="preserve">Academy and </w:t>
            </w:r>
            <w:r w:rsidR="008F4EAE">
              <w:t>WA Web Lawyer)</w:t>
            </w:r>
          </w:p>
          <w:p w14:paraId="41BF3D0E" w14:textId="1E105678" w:rsidR="003857B4" w:rsidRDefault="003857B4" w:rsidP="004639EE">
            <w:pPr>
              <w:pStyle w:val="ListParagraph"/>
              <w:numPr>
                <w:ilvl w:val="0"/>
                <w:numId w:val="1"/>
              </w:numPr>
              <w:jc w:val="both"/>
            </w:pPr>
            <w:r w:rsidRPr="00B73378">
              <w:rPr>
                <w:b/>
              </w:rPr>
              <w:t xml:space="preserve">Promote jurisprudential understanding of </w:t>
            </w:r>
            <w:r w:rsidR="008E6AD6">
              <w:rPr>
                <w:b/>
              </w:rPr>
              <w:t>how the</w:t>
            </w:r>
            <w:r w:rsidRPr="00B73378">
              <w:rPr>
                <w:b/>
              </w:rPr>
              <w:t xml:space="preserve"> law</w:t>
            </w:r>
            <w:r w:rsidR="008E6AD6">
              <w:rPr>
                <w:b/>
              </w:rPr>
              <w:t xml:space="preserve"> and the justice system</w:t>
            </w:r>
            <w:r w:rsidRPr="00B73378">
              <w:rPr>
                <w:b/>
              </w:rPr>
              <w:t xml:space="preserve"> </w:t>
            </w:r>
            <w:r w:rsidR="008E6AD6">
              <w:rPr>
                <w:b/>
              </w:rPr>
              <w:t xml:space="preserve">impact people who experience poverty and marginalization </w:t>
            </w:r>
            <w:r w:rsidR="008F4EAE">
              <w:t>(e.g., developed guide</w:t>
            </w:r>
            <w:r w:rsidR="00677EF0">
              <w:t>s</w:t>
            </w:r>
            <w:r w:rsidR="008F4EAE">
              <w:t xml:space="preserve"> for Washington Courts and Administrative Courts on ensuring access for people with disabilities) </w:t>
            </w:r>
          </w:p>
          <w:p w14:paraId="60962657" w14:textId="5D92F606" w:rsidR="003857B4" w:rsidRDefault="003857B4" w:rsidP="004639EE">
            <w:pPr>
              <w:pStyle w:val="ListParagraph"/>
              <w:numPr>
                <w:ilvl w:val="0"/>
                <w:numId w:val="1"/>
              </w:numPr>
              <w:jc w:val="both"/>
            </w:pPr>
            <w:r w:rsidRPr="00B73378">
              <w:rPr>
                <w:b/>
              </w:rPr>
              <w:t xml:space="preserve">Promote public </w:t>
            </w:r>
            <w:r w:rsidR="00B73378" w:rsidRPr="00B73378">
              <w:rPr>
                <w:b/>
              </w:rPr>
              <w:t>education about civil legal needs and services</w:t>
            </w:r>
            <w:r w:rsidR="008F4EAE">
              <w:t xml:space="preserve"> (e.g., </w:t>
            </w:r>
            <w:r w:rsidR="00565BFD">
              <w:t>partners with the</w:t>
            </w:r>
            <w:r w:rsidR="008F4EAE">
              <w:t xml:space="preserve"> Equal Justice Coalition </w:t>
            </w:r>
            <w:r w:rsidR="00565BFD">
              <w:t xml:space="preserve">to </w:t>
            </w:r>
            <w:r w:rsidR="008F4EAE">
              <w:t>educate the public about civil legal aid, support</w:t>
            </w:r>
            <w:r w:rsidR="00565BFD">
              <w:t>s</w:t>
            </w:r>
            <w:r w:rsidR="008F4EAE">
              <w:t xml:space="preserve"> Alliance organizations to engage in community legal education and outreach through developing trainings and resources) </w:t>
            </w:r>
          </w:p>
          <w:p w14:paraId="7B49B2CA" w14:textId="755BC67D" w:rsidR="003857B4" w:rsidRDefault="003857B4" w:rsidP="003857B4">
            <w:pPr>
              <w:pStyle w:val="ListParagraph"/>
              <w:numPr>
                <w:ilvl w:val="0"/>
                <w:numId w:val="1"/>
              </w:numPr>
              <w:jc w:val="both"/>
            </w:pPr>
            <w:r w:rsidRPr="00B73378">
              <w:rPr>
                <w:b/>
              </w:rPr>
              <w:t>Promote responsiveness of the civil justice system to the needs of those who suffer disparate treatment or di</w:t>
            </w:r>
            <w:r w:rsidR="00677EF0" w:rsidRPr="00B73378">
              <w:rPr>
                <w:b/>
              </w:rPr>
              <w:t>sproportionate access barriers</w:t>
            </w:r>
            <w:r w:rsidR="00677EF0">
              <w:t xml:space="preserve"> (e.g., evaluat</w:t>
            </w:r>
            <w:r w:rsidR="00565BFD">
              <w:t>ing</w:t>
            </w:r>
            <w:r w:rsidR="00677EF0">
              <w:t xml:space="preserve"> effectiveness of the intake system as part of the implementation of the State Plan</w:t>
            </w:r>
            <w:r w:rsidR="00565BFD">
              <w:t>, developed the Technology Principles and serve on court technology committees to ensure technology does not create more barriers to accessing justice</w:t>
            </w:r>
            <w:r w:rsidR="00677EF0">
              <w:t>)</w:t>
            </w:r>
          </w:p>
          <w:p w14:paraId="555CF1C2" w14:textId="0E06FC18" w:rsidR="003857B4" w:rsidRDefault="003857B4" w:rsidP="00677EF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B73378">
              <w:rPr>
                <w:b/>
              </w:rPr>
              <w:t>Address existing and proposed laws, rules, and regulations that may adversely affect meaningful access to the civil justice syste</w:t>
            </w:r>
            <w:r w:rsidR="00677EF0" w:rsidRPr="00B73378">
              <w:rPr>
                <w:b/>
              </w:rPr>
              <w:t>m</w:t>
            </w:r>
            <w:r w:rsidR="00677EF0">
              <w:t xml:space="preserve"> (e.g., submits comments to rules impacting low income people’s access to the justice system)</w:t>
            </w:r>
          </w:p>
        </w:tc>
      </w:tr>
      <w:tr w:rsidR="00715177" w14:paraId="7C722F68" w14:textId="77777777" w:rsidTr="00791657">
        <w:tc>
          <w:tcPr>
            <w:tcW w:w="13680" w:type="dxa"/>
            <w:gridSpan w:val="2"/>
            <w:shd w:val="clear" w:color="auto" w:fill="4F81BD" w:themeFill="accent1"/>
          </w:tcPr>
          <w:p w14:paraId="2592667A" w14:textId="77777777" w:rsidR="00715177" w:rsidRPr="0022123A" w:rsidRDefault="00715177" w:rsidP="00715177">
            <w:pPr>
              <w:rPr>
                <w:b/>
                <w:color w:val="FFFFFF" w:themeColor="background1"/>
              </w:rPr>
            </w:pPr>
            <w:r w:rsidRPr="0022123A">
              <w:rPr>
                <w:b/>
                <w:color w:val="FFFFFF" w:themeColor="background1"/>
              </w:rPr>
              <w:t>Considerations</w:t>
            </w:r>
          </w:p>
        </w:tc>
      </w:tr>
      <w:tr w:rsidR="00715177" w14:paraId="3F5009F9" w14:textId="77777777" w:rsidTr="00C6008F">
        <w:tc>
          <w:tcPr>
            <w:tcW w:w="13680" w:type="dxa"/>
            <w:gridSpan w:val="2"/>
          </w:tcPr>
          <w:p w14:paraId="4391A7DC" w14:textId="77777777" w:rsidR="00715177" w:rsidRDefault="00715177" w:rsidP="00715177"/>
          <w:p w14:paraId="45E17F29" w14:textId="30F0C6BC" w:rsidR="00715177" w:rsidRDefault="00945140" w:rsidP="004629A3">
            <w:pPr>
              <w:pStyle w:val="ListParagraph"/>
              <w:numPr>
                <w:ilvl w:val="0"/>
                <w:numId w:val="2"/>
              </w:numPr>
            </w:pPr>
            <w:r>
              <w:t xml:space="preserve">Possible </w:t>
            </w:r>
            <w:r w:rsidR="00715177">
              <w:t>Antitrust implications?</w:t>
            </w:r>
            <w:r w:rsidR="00893F93">
              <w:t xml:space="preserve">  </w:t>
            </w:r>
            <w:r w:rsidR="00893F93">
              <w:br/>
            </w:r>
          </w:p>
          <w:p w14:paraId="5A45B57B" w14:textId="2004DBDD" w:rsidR="00715177" w:rsidRDefault="00945140" w:rsidP="00C10C4E">
            <w:pPr>
              <w:pStyle w:val="ListParagraph"/>
              <w:numPr>
                <w:ilvl w:val="0"/>
                <w:numId w:val="2"/>
              </w:numPr>
            </w:pPr>
            <w:r>
              <w:t xml:space="preserve">Possible </w:t>
            </w:r>
            <w:r w:rsidR="00715177">
              <w:t>First Amendment implications?</w:t>
            </w:r>
            <w:r w:rsidR="00893F93">
              <w:t xml:space="preserve"> </w:t>
            </w:r>
            <w:r w:rsidR="00893F93">
              <w:br/>
            </w:r>
            <w:bookmarkStart w:id="0" w:name="_GoBack"/>
            <w:bookmarkEnd w:id="0"/>
          </w:p>
        </w:tc>
      </w:tr>
    </w:tbl>
    <w:p w14:paraId="7C9B6A92" w14:textId="77777777" w:rsidR="00244FAC" w:rsidRDefault="00C10C4E" w:rsidP="00791657"/>
    <w:sectPr w:rsidR="00244FAC" w:rsidSect="00C6008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C836E" w14:textId="77777777" w:rsidR="009A7B25" w:rsidRDefault="009A7B25" w:rsidP="00516115">
      <w:pPr>
        <w:spacing w:after="0" w:line="240" w:lineRule="auto"/>
      </w:pPr>
      <w:r>
        <w:separator/>
      </w:r>
    </w:p>
  </w:endnote>
  <w:endnote w:type="continuationSeparator" w:id="0">
    <w:p w14:paraId="08A3CACE" w14:textId="77777777" w:rsidR="009A7B25" w:rsidRDefault="009A7B25" w:rsidP="0051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DB9ED" w14:textId="77777777" w:rsidR="009A7B25" w:rsidRDefault="009A7B25" w:rsidP="00516115">
      <w:pPr>
        <w:spacing w:after="0" w:line="240" w:lineRule="auto"/>
      </w:pPr>
      <w:r>
        <w:separator/>
      </w:r>
    </w:p>
  </w:footnote>
  <w:footnote w:type="continuationSeparator" w:id="0">
    <w:p w14:paraId="37813314" w14:textId="77777777" w:rsidR="009A7B25" w:rsidRDefault="009A7B25" w:rsidP="0051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4522A" w14:textId="1EFDCFB0" w:rsidR="00516115" w:rsidRPr="00516115" w:rsidRDefault="00C10C4E" w:rsidP="00516115">
    <w:pPr>
      <w:pStyle w:val="Header"/>
      <w:jc w:val="center"/>
      <w:rPr>
        <w:b/>
        <w:caps/>
        <w:sz w:val="28"/>
        <w:szCs w:val="28"/>
      </w:rPr>
    </w:pPr>
    <w:sdt>
      <w:sdtPr>
        <w:rPr>
          <w:b/>
          <w:caps/>
          <w:sz w:val="28"/>
          <w:szCs w:val="28"/>
        </w:rPr>
        <w:id w:val="1957524758"/>
        <w:docPartObj>
          <w:docPartGallery w:val="Watermarks"/>
          <w:docPartUnique/>
        </w:docPartObj>
      </w:sdtPr>
      <w:sdtEndPr/>
      <w:sdtContent>
        <w:r>
          <w:rPr>
            <w:b/>
            <w:caps/>
            <w:noProof/>
            <w:sz w:val="28"/>
            <w:szCs w:val="28"/>
          </w:rPr>
          <w:pict w14:anchorId="0C1435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6008F">
      <w:rPr>
        <w:b/>
        <w:caps/>
        <w:sz w:val="28"/>
        <w:szCs w:val="28"/>
      </w:rPr>
      <w:t>A</w:t>
    </w:r>
    <w:r w:rsidR="004639EE">
      <w:rPr>
        <w:b/>
        <w:caps/>
        <w:sz w:val="28"/>
        <w:szCs w:val="28"/>
      </w:rPr>
      <w:t xml:space="preserve">CCESS TO JUSTICE </w:t>
    </w:r>
    <w:r w:rsidR="00A407BE">
      <w:rPr>
        <w:b/>
        <w:caps/>
        <w:sz w:val="28"/>
        <w:szCs w:val="28"/>
      </w:rPr>
      <w:t>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A39"/>
    <w:multiLevelType w:val="hybridMultilevel"/>
    <w:tmpl w:val="1B6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14AC0"/>
    <w:multiLevelType w:val="hybridMultilevel"/>
    <w:tmpl w:val="DAEE98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15"/>
    <w:rsid w:val="0001617D"/>
    <w:rsid w:val="000542A9"/>
    <w:rsid w:val="00055251"/>
    <w:rsid w:val="00151E8A"/>
    <w:rsid w:val="001A0401"/>
    <w:rsid w:val="00202FFA"/>
    <w:rsid w:val="0024749B"/>
    <w:rsid w:val="002B539F"/>
    <w:rsid w:val="00346AF1"/>
    <w:rsid w:val="003857B4"/>
    <w:rsid w:val="003C5F39"/>
    <w:rsid w:val="004639EE"/>
    <w:rsid w:val="004A510B"/>
    <w:rsid w:val="004E28C0"/>
    <w:rsid w:val="00516115"/>
    <w:rsid w:val="005429BC"/>
    <w:rsid w:val="00565BFD"/>
    <w:rsid w:val="00677EF0"/>
    <w:rsid w:val="006A248E"/>
    <w:rsid w:val="006C3F83"/>
    <w:rsid w:val="00715177"/>
    <w:rsid w:val="00764D7B"/>
    <w:rsid w:val="00791657"/>
    <w:rsid w:val="007E180C"/>
    <w:rsid w:val="00893F93"/>
    <w:rsid w:val="008E2121"/>
    <w:rsid w:val="008E6AD6"/>
    <w:rsid w:val="008F4EAE"/>
    <w:rsid w:val="009140C8"/>
    <w:rsid w:val="00945140"/>
    <w:rsid w:val="009567EB"/>
    <w:rsid w:val="009A7B25"/>
    <w:rsid w:val="00A05CFF"/>
    <w:rsid w:val="00A407BE"/>
    <w:rsid w:val="00B73378"/>
    <w:rsid w:val="00C10C4E"/>
    <w:rsid w:val="00C22363"/>
    <w:rsid w:val="00C6008F"/>
    <w:rsid w:val="00CD345C"/>
    <w:rsid w:val="00D73074"/>
    <w:rsid w:val="00D81C38"/>
    <w:rsid w:val="00ED0FF2"/>
    <w:rsid w:val="00F12D85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F23290"/>
  <w15:chartTrackingRefBased/>
  <w15:docId w15:val="{90BB1EC9-E87E-461A-8F45-7218D759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115"/>
  </w:style>
  <w:style w:type="paragraph" w:styleId="Footer">
    <w:name w:val="footer"/>
    <w:basedOn w:val="Normal"/>
    <w:link w:val="FooterChar"/>
    <w:uiPriority w:val="99"/>
    <w:unhideWhenUsed/>
    <w:rsid w:val="00516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115"/>
  </w:style>
  <w:style w:type="table" w:styleId="TableGrid">
    <w:name w:val="Table Grid"/>
    <w:basedOn w:val="TableNormal"/>
    <w:uiPriority w:val="59"/>
    <w:rsid w:val="0051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0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Holmes</dc:creator>
  <cp:keywords/>
  <dc:description/>
  <cp:lastModifiedBy>Kevin Plachy</cp:lastModifiedBy>
  <cp:revision>7</cp:revision>
  <dcterms:created xsi:type="dcterms:W3CDTF">2019-06-25T21:01:00Z</dcterms:created>
  <dcterms:modified xsi:type="dcterms:W3CDTF">2019-06-25T21:46:00Z</dcterms:modified>
</cp:coreProperties>
</file>